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79D2" w14:textId="3EF2FD1B" w:rsidR="000D5B14" w:rsidRPr="006A6F15" w:rsidRDefault="000D5B14" w:rsidP="000D5B14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006A6F15">
        <w:rPr>
          <w:rFonts w:ascii="Arial" w:hAnsi="Arial" w:cs="Arial"/>
          <w:b/>
          <w:bCs/>
          <w:sz w:val="28"/>
          <w:szCs w:val="28"/>
        </w:rPr>
        <w:t>Erwerbsminderungsrente deutlich verbessern und die Berufsunfähigkeitsrente wieder einführen.</w:t>
      </w:r>
    </w:p>
    <w:p w14:paraId="3FD92D5A" w14:textId="446C39F7" w:rsidR="000D5B14" w:rsidRPr="006A6F15" w:rsidRDefault="000D5B14" w:rsidP="000D5B14">
      <w:pPr>
        <w:spacing w:after="120"/>
        <w:rPr>
          <w:rFonts w:ascii="Arial" w:hAnsi="Arial" w:cs="Arial"/>
          <w:bCs/>
        </w:rPr>
      </w:pPr>
      <w:r w:rsidRPr="006A6F15">
        <w:rPr>
          <w:rFonts w:ascii="Arial" w:hAnsi="Arial" w:cs="Arial"/>
          <w:bCs/>
        </w:rPr>
        <w:t>(Der/die … möge beschließen:)</w:t>
      </w:r>
    </w:p>
    <w:p w14:paraId="4686114B" w14:textId="78234FBE" w:rsidR="000D5B14" w:rsidRPr="006A6F15" w:rsidRDefault="000D5B14" w:rsidP="000D5B14">
      <w:pPr>
        <w:spacing w:after="120"/>
        <w:rPr>
          <w:rFonts w:ascii="Arial" w:hAnsi="Arial" w:cs="Arial"/>
          <w:b/>
        </w:rPr>
      </w:pPr>
      <w:r w:rsidRPr="006A6F15">
        <w:rPr>
          <w:rFonts w:ascii="Arial" w:hAnsi="Arial" w:cs="Arial"/>
          <w:b/>
        </w:rPr>
        <w:t xml:space="preserve">Der/die … setzt sich dafür ein, </w:t>
      </w:r>
    </w:p>
    <w:p w14:paraId="205236E6" w14:textId="77777777" w:rsidR="000D5B14" w:rsidRPr="006A6F15" w:rsidRDefault="000D5B14" w:rsidP="000D5B14">
      <w:pPr>
        <w:pStyle w:val="Listenabsatz"/>
        <w:numPr>
          <w:ilvl w:val="0"/>
          <w:numId w:val="1"/>
        </w:numPr>
        <w:spacing w:after="120"/>
        <w:ind w:left="284" w:hanging="284"/>
        <w:contextualSpacing w:val="0"/>
        <w:rPr>
          <w:rFonts w:ascii="Arial" w:hAnsi="Arial" w:cs="Arial"/>
          <w:b/>
        </w:rPr>
      </w:pPr>
      <w:r w:rsidRPr="006A6F15">
        <w:rPr>
          <w:rFonts w:ascii="Arial" w:hAnsi="Arial" w:cs="Arial"/>
          <w:b/>
        </w:rPr>
        <w:t>dass die Abschläge bei vorzeitiger Inanspruchnahme der Erwerbsminderungsrente komplett abgeschafft werden und die Voraussetzungen für die Gewährung von Erwerbsminderungsrenten deutlich vereinfacht werden.</w:t>
      </w:r>
    </w:p>
    <w:p w14:paraId="0D10E86E" w14:textId="230CECE5" w:rsidR="000D5B14" w:rsidRPr="006A6F15" w:rsidRDefault="000D5B14" w:rsidP="000D5B14">
      <w:pPr>
        <w:pStyle w:val="Listenabsatz"/>
        <w:numPr>
          <w:ilvl w:val="0"/>
          <w:numId w:val="1"/>
        </w:numPr>
        <w:spacing w:after="120"/>
        <w:ind w:left="284" w:hanging="284"/>
        <w:contextualSpacing w:val="0"/>
        <w:rPr>
          <w:rFonts w:ascii="Arial" w:hAnsi="Arial" w:cs="Arial"/>
          <w:b/>
        </w:rPr>
      </w:pPr>
      <w:r w:rsidRPr="006A6F15">
        <w:rPr>
          <w:rFonts w:ascii="Arial" w:hAnsi="Arial" w:cs="Arial"/>
          <w:b/>
        </w:rPr>
        <w:t>dass die gesetzliche Berufsunfähigkeitsrente wieder eingeführt wird.</w:t>
      </w:r>
    </w:p>
    <w:p w14:paraId="2C0EADB8" w14:textId="3A1001B4" w:rsidR="000D5B14" w:rsidRPr="006A6F15" w:rsidRDefault="000D5B14" w:rsidP="000D5B14">
      <w:pPr>
        <w:spacing w:after="120"/>
        <w:rPr>
          <w:rFonts w:ascii="Arial" w:hAnsi="Arial" w:cs="Arial"/>
        </w:rPr>
      </w:pPr>
      <w:r w:rsidRPr="006A6F15">
        <w:rPr>
          <w:rFonts w:ascii="Arial" w:hAnsi="Arial" w:cs="Arial"/>
        </w:rPr>
        <w:t>Die Abschläge bei der Erwerbsminderungsrente sind mit nichts zu rechtfertigen. Das gesundheitliche Schicksal der Erwerbsgeminderten darf nicht zusätzlich über unsoziale Abschläge bestraft werden.</w:t>
      </w:r>
    </w:p>
    <w:p w14:paraId="4A2B25D7" w14:textId="77777777" w:rsidR="000D5B14" w:rsidRPr="006A6F15" w:rsidRDefault="000D5B14" w:rsidP="000D5B14">
      <w:pPr>
        <w:spacing w:after="120"/>
        <w:rPr>
          <w:rFonts w:ascii="Arial" w:hAnsi="Arial" w:cs="Arial"/>
        </w:rPr>
      </w:pPr>
      <w:r w:rsidRPr="006A6F15">
        <w:rPr>
          <w:rFonts w:ascii="Arial" w:hAnsi="Arial" w:cs="Arial"/>
        </w:rPr>
        <w:t>Die Voraussetzungen für die Inanspruchnahme von Erwerbsminderungsrenten sind deutlich niederschwelliger zu definieren als nach den seit 2001 geltenden Vorschriften.</w:t>
      </w:r>
    </w:p>
    <w:p w14:paraId="59EBAABE" w14:textId="4F300B5D" w:rsidR="000D5B14" w:rsidRPr="006A6F15" w:rsidRDefault="000D5B14" w:rsidP="000D5B14">
      <w:pPr>
        <w:spacing w:after="120"/>
        <w:rPr>
          <w:rFonts w:ascii="Arial" w:hAnsi="Arial" w:cs="Arial"/>
        </w:rPr>
      </w:pPr>
      <w:r w:rsidRPr="006A6F15">
        <w:rPr>
          <w:rFonts w:ascii="Arial" w:hAnsi="Arial" w:cs="Arial"/>
        </w:rPr>
        <w:t>Der Schutz der im Arbeitsleben erworbenen beruflichen Qualifikationen und dem damit erreichten Einkommensniveau, darf nicht durch krankheitsbedingte Beeinträchtigungen vollständig verloren gehen.</w:t>
      </w:r>
      <w:r w:rsidR="00351C8E" w:rsidRPr="006A6F15">
        <w:rPr>
          <w:rFonts w:ascii="Arial" w:hAnsi="Arial" w:cs="Arial"/>
        </w:rPr>
        <w:t xml:space="preserve"> </w:t>
      </w:r>
      <w:r w:rsidRPr="006A6F15">
        <w:rPr>
          <w:rFonts w:ascii="Arial" w:hAnsi="Arial" w:cs="Arial"/>
        </w:rPr>
        <w:t xml:space="preserve">Private Versicherungen springen in diese durch Gesetz geschaffene Versorgungslücke und bieten teure Berufsunfähigkeitsversicherungen an. </w:t>
      </w:r>
    </w:p>
    <w:p w14:paraId="410229D8" w14:textId="77777777" w:rsidR="000D5B14" w:rsidRPr="006A6F15" w:rsidRDefault="000D5B14" w:rsidP="000D5B14">
      <w:pPr>
        <w:spacing w:after="120"/>
        <w:rPr>
          <w:rFonts w:ascii="Arial" w:hAnsi="Arial" w:cs="Arial"/>
          <w:bCs/>
        </w:rPr>
      </w:pPr>
      <w:r w:rsidRPr="006A6F15">
        <w:rPr>
          <w:rFonts w:ascii="Arial" w:hAnsi="Arial" w:cs="Arial"/>
          <w:bCs/>
        </w:rPr>
        <w:t>Absicherung gegen Berufsunfähigkeit darf in einem Sozialstaat nicht zur Privatsache gemacht werden.</w:t>
      </w:r>
    </w:p>
    <w:p w14:paraId="5DAFDD94" w14:textId="77777777" w:rsidR="000D5B14" w:rsidRPr="006A6F15" w:rsidRDefault="000D5B14" w:rsidP="000D5B14">
      <w:pPr>
        <w:spacing w:after="120"/>
        <w:rPr>
          <w:rFonts w:ascii="Arial" w:hAnsi="Arial" w:cs="Arial"/>
          <w:b/>
          <w:bCs/>
        </w:rPr>
      </w:pPr>
    </w:p>
    <w:sectPr w:rsidR="000D5B14" w:rsidRPr="006A6F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951C6"/>
    <w:multiLevelType w:val="hybridMultilevel"/>
    <w:tmpl w:val="CB60D052"/>
    <w:lvl w:ilvl="0" w:tplc="BE38D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2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D5B14"/>
    <w:rsid w:val="000D5B14"/>
    <w:rsid w:val="00351C8E"/>
    <w:rsid w:val="006A6F15"/>
    <w:rsid w:val="00DA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DDEC"/>
  <w15:chartTrackingRefBased/>
  <w15:docId w15:val="{F39B1475-9941-44EB-AC82-D6D95D8A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5B14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5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Heyse</dc:creator>
  <cp:keywords/>
  <dc:description/>
  <cp:lastModifiedBy>Reiner Heyse</cp:lastModifiedBy>
  <cp:revision>2</cp:revision>
  <dcterms:created xsi:type="dcterms:W3CDTF">2022-03-30T11:36:00Z</dcterms:created>
  <dcterms:modified xsi:type="dcterms:W3CDTF">2022-04-10T18:44:00Z</dcterms:modified>
</cp:coreProperties>
</file>